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009C64" w14:textId="77777777" w:rsidR="001838D2" w:rsidRPr="00C95C73" w:rsidRDefault="001838D2" w:rsidP="00C95C73">
      <w:pPr>
        <w:jc w:val="center"/>
        <w:rPr>
          <w:rFonts w:ascii="Book Antiqua" w:hAnsi="Book Antiqua"/>
          <w:b/>
          <w:bCs/>
          <w:sz w:val="24"/>
          <w:szCs w:val="24"/>
        </w:rPr>
      </w:pPr>
      <w:r w:rsidRPr="00C95C73">
        <w:rPr>
          <w:rFonts w:ascii="Book Antiqua" w:hAnsi="Book Antiqua"/>
          <w:b/>
          <w:bCs/>
          <w:sz w:val="24"/>
          <w:szCs w:val="24"/>
        </w:rPr>
        <w:t>L’OIM pour une meilleure gestion des frontières en Afrique de l’Ouest</w:t>
      </w:r>
    </w:p>
    <w:p w14:paraId="50203F91" w14:textId="0B3A2E37" w:rsidR="0065544A" w:rsidRPr="00C95C73" w:rsidRDefault="0065544A" w:rsidP="001838D2">
      <w:pPr>
        <w:jc w:val="both"/>
        <w:rPr>
          <w:rFonts w:ascii="Book Antiqua" w:hAnsi="Book Antiqua"/>
          <w:b/>
          <w:bCs/>
          <w:i/>
          <w:iCs/>
          <w:sz w:val="24"/>
          <w:szCs w:val="24"/>
        </w:rPr>
      </w:pPr>
      <w:r w:rsidRPr="00C95C73">
        <w:rPr>
          <w:rFonts w:ascii="Book Antiqua" w:hAnsi="Book Antiqua"/>
          <w:b/>
          <w:bCs/>
          <w:i/>
          <w:iCs/>
          <w:sz w:val="24"/>
          <w:szCs w:val="24"/>
        </w:rPr>
        <w:t>La région ouest-africaine fait face depuis un certain temps, à la</w:t>
      </w:r>
      <w:r w:rsidR="00682798">
        <w:rPr>
          <w:rFonts w:ascii="Book Antiqua" w:hAnsi="Book Antiqua"/>
          <w:b/>
          <w:bCs/>
          <w:i/>
          <w:iCs/>
          <w:sz w:val="24"/>
          <w:szCs w:val="24"/>
        </w:rPr>
        <w:t xml:space="preserve"> montée de l’insécurité avec notamment </w:t>
      </w:r>
      <w:r w:rsidR="00302442">
        <w:rPr>
          <w:rFonts w:ascii="Book Antiqua" w:hAnsi="Book Antiqua"/>
          <w:b/>
          <w:bCs/>
          <w:i/>
          <w:iCs/>
          <w:sz w:val="24"/>
          <w:szCs w:val="24"/>
        </w:rPr>
        <w:t>la</w:t>
      </w:r>
      <w:r w:rsidRPr="00C95C73">
        <w:rPr>
          <w:rFonts w:ascii="Book Antiqua" w:hAnsi="Book Antiqua"/>
          <w:b/>
          <w:bCs/>
          <w:i/>
          <w:iCs/>
          <w:sz w:val="24"/>
          <w:szCs w:val="24"/>
        </w:rPr>
        <w:t xml:space="preserve"> menace </w:t>
      </w:r>
      <w:r w:rsidR="00682798">
        <w:rPr>
          <w:rFonts w:ascii="Book Antiqua" w:hAnsi="Book Antiqua"/>
          <w:b/>
          <w:bCs/>
          <w:i/>
          <w:iCs/>
          <w:sz w:val="24"/>
          <w:szCs w:val="24"/>
        </w:rPr>
        <w:t>croissante</w:t>
      </w:r>
      <w:r w:rsidR="00682798" w:rsidRPr="00C95C73">
        <w:rPr>
          <w:rFonts w:ascii="Book Antiqua" w:hAnsi="Book Antiqua"/>
          <w:b/>
          <w:bCs/>
          <w:i/>
          <w:iCs/>
          <w:sz w:val="24"/>
          <w:szCs w:val="24"/>
        </w:rPr>
        <w:t xml:space="preserve"> </w:t>
      </w:r>
      <w:r w:rsidRPr="00C95C73">
        <w:rPr>
          <w:rFonts w:ascii="Book Antiqua" w:hAnsi="Book Antiqua"/>
          <w:b/>
          <w:bCs/>
          <w:i/>
          <w:iCs/>
          <w:sz w:val="24"/>
          <w:szCs w:val="24"/>
        </w:rPr>
        <w:t>de l’extrémisme violent</w:t>
      </w:r>
      <w:r w:rsidR="00302442">
        <w:rPr>
          <w:rFonts w:ascii="Book Antiqua" w:hAnsi="Book Antiqua"/>
          <w:b/>
          <w:bCs/>
          <w:i/>
          <w:iCs/>
          <w:sz w:val="24"/>
          <w:szCs w:val="24"/>
        </w:rPr>
        <w:t xml:space="preserve">. </w:t>
      </w:r>
    </w:p>
    <w:p w14:paraId="0F8EBAF7" w14:textId="22CD7DC0" w:rsidR="00FA56DA" w:rsidRDefault="00FA56DA" w:rsidP="001838D2">
      <w:pPr>
        <w:jc w:val="both"/>
        <w:rPr>
          <w:rFonts w:ascii="Book Antiqua" w:hAnsi="Book Antiqua"/>
          <w:sz w:val="24"/>
          <w:szCs w:val="24"/>
        </w:rPr>
      </w:pPr>
      <w:r>
        <w:rPr>
          <w:rFonts w:ascii="Book Antiqua" w:hAnsi="Book Antiqua"/>
          <w:sz w:val="24"/>
          <w:szCs w:val="24"/>
        </w:rPr>
        <w:t>En réponse à cette situation, l</w:t>
      </w:r>
      <w:r w:rsidRPr="001838D2">
        <w:rPr>
          <w:rFonts w:ascii="Book Antiqua" w:hAnsi="Book Antiqua"/>
          <w:sz w:val="24"/>
          <w:szCs w:val="24"/>
        </w:rPr>
        <w:t>’Organisation internationale pour les migrations (OIM), avec le soutien financier du Ministère fédéral allemand des Affaires étrangères,</w:t>
      </w:r>
      <w:r>
        <w:rPr>
          <w:rFonts w:ascii="Book Antiqua" w:hAnsi="Book Antiqua"/>
          <w:sz w:val="24"/>
          <w:szCs w:val="24"/>
        </w:rPr>
        <w:t xml:space="preserve"> a mis </w:t>
      </w:r>
      <w:r w:rsidR="000953B8">
        <w:rPr>
          <w:rFonts w:ascii="Book Antiqua" w:hAnsi="Book Antiqua"/>
          <w:sz w:val="24"/>
          <w:szCs w:val="24"/>
        </w:rPr>
        <w:t>en place</w:t>
      </w:r>
      <w:r>
        <w:rPr>
          <w:rFonts w:ascii="Book Antiqua" w:hAnsi="Book Antiqua"/>
          <w:sz w:val="24"/>
          <w:szCs w:val="24"/>
        </w:rPr>
        <w:t xml:space="preserve"> le projet « </w:t>
      </w:r>
      <w:r w:rsidRPr="00C95C73">
        <w:rPr>
          <w:rFonts w:ascii="Book Antiqua" w:hAnsi="Book Antiqua"/>
          <w:i/>
          <w:iCs/>
          <w:sz w:val="24"/>
          <w:szCs w:val="24"/>
        </w:rPr>
        <w:t>Renforcer la sécurité frontalière et la résilience des communautés frontalières dans le Golfe de Guinée</w:t>
      </w:r>
      <w:r>
        <w:rPr>
          <w:rFonts w:ascii="Book Antiqua" w:hAnsi="Book Antiqua"/>
          <w:sz w:val="24"/>
          <w:szCs w:val="24"/>
        </w:rPr>
        <w:t> ».</w:t>
      </w:r>
    </w:p>
    <w:p w14:paraId="405DF5A2" w14:textId="5ED3059D" w:rsidR="000953B8" w:rsidRDefault="000953B8" w:rsidP="001838D2">
      <w:pPr>
        <w:jc w:val="both"/>
        <w:rPr>
          <w:rFonts w:ascii="Book Antiqua" w:hAnsi="Book Antiqua"/>
          <w:sz w:val="24"/>
          <w:szCs w:val="24"/>
        </w:rPr>
      </w:pPr>
      <w:r>
        <w:rPr>
          <w:rFonts w:ascii="Book Antiqua" w:hAnsi="Book Antiqua"/>
          <w:sz w:val="24"/>
          <w:szCs w:val="24"/>
        </w:rPr>
        <w:t>« </w:t>
      </w:r>
      <w:r w:rsidRPr="00C95C73">
        <w:rPr>
          <w:rFonts w:ascii="Book Antiqua" w:hAnsi="Book Antiqua"/>
          <w:i/>
          <w:iCs/>
          <w:sz w:val="24"/>
          <w:szCs w:val="24"/>
        </w:rPr>
        <w:t xml:space="preserve">C’est un programme régional qui </w:t>
      </w:r>
      <w:r w:rsidR="00682798">
        <w:rPr>
          <w:rFonts w:ascii="Book Antiqua" w:hAnsi="Book Antiqua"/>
          <w:i/>
          <w:iCs/>
          <w:sz w:val="24"/>
          <w:szCs w:val="24"/>
        </w:rPr>
        <w:t>couvre</w:t>
      </w:r>
      <w:r w:rsidR="00682798" w:rsidRPr="00C95C73">
        <w:rPr>
          <w:rFonts w:ascii="Book Antiqua" w:hAnsi="Book Antiqua"/>
          <w:i/>
          <w:iCs/>
          <w:sz w:val="24"/>
          <w:szCs w:val="24"/>
        </w:rPr>
        <w:t xml:space="preserve"> </w:t>
      </w:r>
      <w:r w:rsidRPr="00C95C73">
        <w:rPr>
          <w:rFonts w:ascii="Book Antiqua" w:hAnsi="Book Antiqua"/>
          <w:i/>
          <w:iCs/>
          <w:sz w:val="24"/>
          <w:szCs w:val="24"/>
        </w:rPr>
        <w:t>les pays du Golfe de Guinée, notamment le Togo, le Bénin, la Côte d’Ivoire et le Ghana. Ce programme va cibler les régions frontalières de ces pays</w:t>
      </w:r>
      <w:r>
        <w:rPr>
          <w:rFonts w:ascii="Book Antiqua" w:hAnsi="Book Antiqua"/>
          <w:sz w:val="24"/>
          <w:szCs w:val="24"/>
        </w:rPr>
        <w:t> », explique</w:t>
      </w:r>
      <w:r w:rsidRPr="000953B8">
        <w:rPr>
          <w:rFonts w:ascii="Book Antiqua" w:hAnsi="Book Antiqua"/>
          <w:sz w:val="24"/>
          <w:szCs w:val="24"/>
        </w:rPr>
        <w:t xml:space="preserve"> </w:t>
      </w:r>
      <w:r w:rsidRPr="001838D2">
        <w:rPr>
          <w:rFonts w:ascii="Book Antiqua" w:hAnsi="Book Antiqua"/>
          <w:sz w:val="24"/>
          <w:szCs w:val="24"/>
        </w:rPr>
        <w:t>Abibatou Wane</w:t>
      </w:r>
      <w:r>
        <w:rPr>
          <w:rFonts w:ascii="Book Antiqua" w:hAnsi="Book Antiqua"/>
          <w:sz w:val="24"/>
          <w:szCs w:val="24"/>
        </w:rPr>
        <w:t>, Représentante de l’OIM pour le Ghana, le Togo et le Bénin</w:t>
      </w:r>
      <w:r w:rsidRPr="001838D2">
        <w:rPr>
          <w:rFonts w:ascii="Book Antiqua" w:hAnsi="Book Antiqua"/>
          <w:sz w:val="24"/>
          <w:szCs w:val="24"/>
        </w:rPr>
        <w:t xml:space="preserve">. </w:t>
      </w:r>
    </w:p>
    <w:p w14:paraId="315D5720" w14:textId="211A22F8" w:rsidR="00C95C73" w:rsidRDefault="00C95C73" w:rsidP="001838D2">
      <w:pPr>
        <w:jc w:val="both"/>
        <w:rPr>
          <w:rFonts w:ascii="Book Antiqua" w:hAnsi="Book Antiqua"/>
          <w:sz w:val="24"/>
          <w:szCs w:val="24"/>
        </w:rPr>
      </w:pPr>
      <w:r w:rsidRPr="001838D2">
        <w:rPr>
          <w:rFonts w:ascii="Book Antiqua" w:hAnsi="Book Antiqua"/>
          <w:sz w:val="24"/>
          <w:szCs w:val="24"/>
        </w:rPr>
        <w:t>L’objectif principal du projet est de contribuer à l’amélioration de la stabilité régionale dans le Golfe de Guinée en renforçant les capacités de gestion des frontières et la résilience des communautés à certains postes frontaliers du nord du Bénin, de la Côte d’Ivoire, du Ghana et du Togo</w:t>
      </w:r>
      <w:r>
        <w:rPr>
          <w:rFonts w:ascii="Book Antiqua" w:hAnsi="Book Antiqua"/>
          <w:sz w:val="24"/>
          <w:szCs w:val="24"/>
        </w:rPr>
        <w:t>.</w:t>
      </w:r>
    </w:p>
    <w:p w14:paraId="0D366779" w14:textId="42FF680A" w:rsidR="00C95C73" w:rsidRPr="00EE3B46" w:rsidRDefault="00FA56DA" w:rsidP="001838D2">
      <w:pPr>
        <w:jc w:val="both"/>
        <w:rPr>
          <w:rFonts w:ascii="Book Antiqua" w:hAnsi="Book Antiqua"/>
          <w:sz w:val="24"/>
          <w:szCs w:val="24"/>
        </w:rPr>
      </w:pPr>
      <w:r>
        <w:rPr>
          <w:rFonts w:ascii="Book Antiqua" w:hAnsi="Book Antiqua"/>
          <w:sz w:val="24"/>
          <w:szCs w:val="24"/>
        </w:rPr>
        <w:t xml:space="preserve"> </w:t>
      </w:r>
      <w:r w:rsidR="00C95C73" w:rsidRPr="001838D2">
        <w:rPr>
          <w:rFonts w:ascii="Book Antiqua" w:hAnsi="Book Antiqua"/>
          <w:sz w:val="24"/>
          <w:szCs w:val="24"/>
        </w:rPr>
        <w:t xml:space="preserve">Les interventions </w:t>
      </w:r>
      <w:r w:rsidR="00C95C73">
        <w:rPr>
          <w:rFonts w:ascii="Book Antiqua" w:hAnsi="Book Antiqua"/>
          <w:sz w:val="24"/>
          <w:szCs w:val="24"/>
        </w:rPr>
        <w:t xml:space="preserve">vont porter sur </w:t>
      </w:r>
      <w:r w:rsidR="00C95C73" w:rsidRPr="001838D2">
        <w:rPr>
          <w:rFonts w:ascii="Book Antiqua" w:hAnsi="Book Antiqua"/>
          <w:sz w:val="24"/>
          <w:szCs w:val="24"/>
        </w:rPr>
        <w:t>la rénovation</w:t>
      </w:r>
      <w:r w:rsidR="00C95C73">
        <w:rPr>
          <w:rFonts w:ascii="Book Antiqua" w:hAnsi="Book Antiqua"/>
          <w:sz w:val="24"/>
          <w:szCs w:val="24"/>
        </w:rPr>
        <w:t xml:space="preserve"> et </w:t>
      </w:r>
      <w:r w:rsidR="0038023D">
        <w:rPr>
          <w:rFonts w:ascii="Book Antiqua" w:hAnsi="Book Antiqua"/>
          <w:sz w:val="24"/>
          <w:szCs w:val="24"/>
        </w:rPr>
        <w:t xml:space="preserve">la </w:t>
      </w:r>
      <w:r w:rsidR="00C95C73" w:rsidRPr="001838D2">
        <w:rPr>
          <w:rFonts w:ascii="Book Antiqua" w:hAnsi="Book Antiqua"/>
          <w:sz w:val="24"/>
          <w:szCs w:val="24"/>
        </w:rPr>
        <w:t>construction de cinq postes frontaliers (deux au Ghana et un au Bénin, en Côte d’Ivoire et au Togo), la fourniture d’équipements de patrouille et la construction d’installations d’eau, d’assainissement et d’hygiène</w:t>
      </w:r>
      <w:r w:rsidR="00C95C73">
        <w:rPr>
          <w:rFonts w:ascii="Book Antiqua" w:hAnsi="Book Antiqua"/>
          <w:sz w:val="24"/>
          <w:szCs w:val="24"/>
        </w:rPr>
        <w:t>.</w:t>
      </w:r>
      <w:r w:rsidR="00682798" w:rsidRPr="00682798">
        <w:rPr>
          <w:rFonts w:ascii="Book Antiqua" w:hAnsi="Book Antiqua"/>
          <w:sz w:val="24"/>
          <w:szCs w:val="24"/>
        </w:rPr>
        <w:t xml:space="preserve"> </w:t>
      </w:r>
      <w:r w:rsidR="00682798">
        <w:rPr>
          <w:rFonts w:ascii="Book Antiqua" w:hAnsi="Book Antiqua"/>
          <w:sz w:val="24"/>
          <w:szCs w:val="24"/>
        </w:rPr>
        <w:t xml:space="preserve">Le site envisagé au Togo est la localité de </w:t>
      </w:r>
      <w:proofErr w:type="spellStart"/>
      <w:r w:rsidR="00682798" w:rsidRPr="00EE3B46">
        <w:rPr>
          <w:rFonts w:ascii="Book Antiqua" w:hAnsi="Book Antiqua"/>
          <w:sz w:val="24"/>
          <w:szCs w:val="24"/>
        </w:rPr>
        <w:t>Po</w:t>
      </w:r>
      <w:r w:rsidR="008D388A">
        <w:rPr>
          <w:rFonts w:ascii="Book Antiqua" w:hAnsi="Book Antiqua"/>
          <w:sz w:val="24"/>
          <w:szCs w:val="24"/>
        </w:rPr>
        <w:t>gno</w:t>
      </w:r>
      <w:proofErr w:type="spellEnd"/>
      <w:r w:rsidR="00EE3B46">
        <w:rPr>
          <w:rFonts w:ascii="Book Antiqua" w:hAnsi="Book Antiqua"/>
          <w:sz w:val="24"/>
          <w:szCs w:val="24"/>
        </w:rPr>
        <w:t>,</w:t>
      </w:r>
      <w:r w:rsidR="008D388A">
        <w:rPr>
          <w:rFonts w:ascii="Book Antiqua" w:hAnsi="Book Antiqua"/>
          <w:sz w:val="24"/>
          <w:szCs w:val="24"/>
        </w:rPr>
        <w:t xml:space="preserve"> </w:t>
      </w:r>
      <w:r w:rsidR="008D388A" w:rsidRPr="00EE3B46">
        <w:rPr>
          <w:rFonts w:ascii="Book Antiqua" w:hAnsi="Book Antiqua"/>
          <w:sz w:val="24"/>
          <w:szCs w:val="24"/>
        </w:rPr>
        <w:t xml:space="preserve">frontalière </w:t>
      </w:r>
      <w:r w:rsidR="00EE3B46">
        <w:rPr>
          <w:rFonts w:ascii="Book Antiqua" w:hAnsi="Book Antiqua"/>
          <w:sz w:val="24"/>
          <w:szCs w:val="24"/>
        </w:rPr>
        <w:t xml:space="preserve">avec la </w:t>
      </w:r>
      <w:r w:rsidR="001D1C62" w:rsidRPr="00EE3B46">
        <w:rPr>
          <w:rFonts w:ascii="Book Antiqua" w:hAnsi="Book Antiqua"/>
          <w:sz w:val="24"/>
          <w:szCs w:val="24"/>
        </w:rPr>
        <w:t>province de Kompienga</w:t>
      </w:r>
      <w:r w:rsidR="008D388A" w:rsidRPr="00EE3B46">
        <w:rPr>
          <w:rFonts w:ascii="Book Antiqua" w:hAnsi="Book Antiqua"/>
          <w:sz w:val="24"/>
          <w:szCs w:val="24"/>
        </w:rPr>
        <w:t xml:space="preserve"> </w:t>
      </w:r>
      <w:r w:rsidR="001D1C62" w:rsidRPr="00EE3B46">
        <w:rPr>
          <w:rFonts w:ascii="Book Antiqua" w:hAnsi="Book Antiqua"/>
          <w:sz w:val="24"/>
          <w:szCs w:val="24"/>
        </w:rPr>
        <w:t>au Burkina</w:t>
      </w:r>
      <w:r w:rsidR="008D388A" w:rsidRPr="00EE3B46">
        <w:rPr>
          <w:rFonts w:ascii="Book Antiqua" w:hAnsi="Book Antiqua"/>
          <w:sz w:val="24"/>
          <w:szCs w:val="24"/>
        </w:rPr>
        <w:t xml:space="preserve"> Faso</w:t>
      </w:r>
      <w:r w:rsidR="00682798" w:rsidRPr="00EE3B46">
        <w:rPr>
          <w:rFonts w:ascii="Book Antiqua" w:hAnsi="Book Antiqua"/>
          <w:sz w:val="24"/>
          <w:szCs w:val="24"/>
        </w:rPr>
        <w:t>.</w:t>
      </w:r>
    </w:p>
    <w:p w14:paraId="7C9C4485" w14:textId="51034C3F" w:rsidR="00C95C73" w:rsidRDefault="00C95C73" w:rsidP="001838D2">
      <w:pPr>
        <w:jc w:val="both"/>
        <w:rPr>
          <w:rFonts w:ascii="Book Antiqua" w:hAnsi="Book Antiqua"/>
          <w:sz w:val="24"/>
          <w:szCs w:val="24"/>
        </w:rPr>
      </w:pPr>
      <w:r>
        <w:rPr>
          <w:rFonts w:ascii="Book Antiqua" w:hAnsi="Book Antiqua"/>
          <w:sz w:val="24"/>
          <w:szCs w:val="24"/>
        </w:rPr>
        <w:t>« </w:t>
      </w:r>
      <w:r w:rsidRPr="00C95C73">
        <w:rPr>
          <w:rFonts w:ascii="Book Antiqua" w:hAnsi="Book Antiqua"/>
          <w:i/>
          <w:iCs/>
          <w:sz w:val="24"/>
          <w:szCs w:val="24"/>
        </w:rPr>
        <w:t>Nous allons également renforcer la résilience des populations en ces milieux </w:t>
      </w:r>
      <w:r>
        <w:rPr>
          <w:rFonts w:ascii="Book Antiqua" w:hAnsi="Book Antiqua"/>
          <w:sz w:val="24"/>
          <w:szCs w:val="24"/>
        </w:rPr>
        <w:t xml:space="preserve">», </w:t>
      </w:r>
      <w:r w:rsidR="0038023D">
        <w:rPr>
          <w:rFonts w:ascii="Book Antiqua" w:hAnsi="Book Antiqua"/>
          <w:sz w:val="24"/>
          <w:szCs w:val="24"/>
        </w:rPr>
        <w:t>ajoute</w:t>
      </w:r>
      <w:r>
        <w:rPr>
          <w:rFonts w:ascii="Book Antiqua" w:hAnsi="Book Antiqua"/>
          <w:sz w:val="24"/>
          <w:szCs w:val="24"/>
        </w:rPr>
        <w:t xml:space="preserve"> Mme Wane</w:t>
      </w:r>
      <w:r w:rsidRPr="00C95C73">
        <w:rPr>
          <w:rFonts w:ascii="Book Antiqua" w:hAnsi="Book Antiqua"/>
          <w:sz w:val="24"/>
          <w:szCs w:val="24"/>
        </w:rPr>
        <w:t xml:space="preserve">. </w:t>
      </w:r>
      <w:r w:rsidR="001047A1">
        <w:rPr>
          <w:rFonts w:ascii="Book Antiqua" w:hAnsi="Book Antiqua"/>
          <w:sz w:val="24"/>
          <w:szCs w:val="24"/>
        </w:rPr>
        <w:t xml:space="preserve">L’OIM </w:t>
      </w:r>
      <w:r w:rsidR="00981677">
        <w:rPr>
          <w:rFonts w:ascii="Book Antiqua" w:hAnsi="Book Antiqua"/>
          <w:sz w:val="24"/>
          <w:szCs w:val="24"/>
        </w:rPr>
        <w:t>va donc</w:t>
      </w:r>
      <w:r w:rsidR="001047A1">
        <w:rPr>
          <w:rFonts w:ascii="Book Antiqua" w:hAnsi="Book Antiqua"/>
          <w:sz w:val="24"/>
          <w:szCs w:val="24"/>
        </w:rPr>
        <w:t xml:space="preserve"> mener</w:t>
      </w:r>
      <w:r w:rsidRPr="00C95C73">
        <w:rPr>
          <w:rFonts w:ascii="Book Antiqua" w:hAnsi="Book Antiqua"/>
          <w:sz w:val="24"/>
          <w:szCs w:val="24"/>
        </w:rPr>
        <w:t xml:space="preserve"> une enquête </w:t>
      </w:r>
      <w:r w:rsidR="001047A1">
        <w:rPr>
          <w:rFonts w:ascii="Book Antiqua" w:hAnsi="Book Antiqua"/>
          <w:sz w:val="24"/>
          <w:szCs w:val="24"/>
        </w:rPr>
        <w:t xml:space="preserve">en amont </w:t>
      </w:r>
      <w:r w:rsidRPr="00C95C73">
        <w:rPr>
          <w:rFonts w:ascii="Book Antiqua" w:hAnsi="Book Antiqua"/>
          <w:sz w:val="24"/>
          <w:szCs w:val="24"/>
        </w:rPr>
        <w:t xml:space="preserve">pour déterminer la perception des populations locales sur les questions de sécurité et </w:t>
      </w:r>
      <w:r w:rsidR="001047A1">
        <w:rPr>
          <w:rFonts w:ascii="Book Antiqua" w:hAnsi="Book Antiqua"/>
          <w:sz w:val="24"/>
          <w:szCs w:val="24"/>
        </w:rPr>
        <w:t>recueillir</w:t>
      </w:r>
      <w:r w:rsidRPr="00C95C73">
        <w:rPr>
          <w:rFonts w:ascii="Book Antiqua" w:hAnsi="Book Antiqua"/>
          <w:sz w:val="24"/>
          <w:szCs w:val="24"/>
        </w:rPr>
        <w:t xml:space="preserve"> les recommandations et actions </w:t>
      </w:r>
      <w:r w:rsidR="001047A1">
        <w:rPr>
          <w:rFonts w:ascii="Book Antiqua" w:hAnsi="Book Antiqua"/>
          <w:sz w:val="24"/>
          <w:szCs w:val="24"/>
        </w:rPr>
        <w:t>à</w:t>
      </w:r>
      <w:r w:rsidRPr="00C95C73">
        <w:rPr>
          <w:rFonts w:ascii="Book Antiqua" w:hAnsi="Book Antiqua"/>
          <w:sz w:val="24"/>
          <w:szCs w:val="24"/>
        </w:rPr>
        <w:t xml:space="preserve"> mettre en place pour renforcer la résilience des communautés. Ceci va permettre de renforcer les relations de confiance entre les communautés, les autorités et les forces de l’ordre.</w:t>
      </w:r>
    </w:p>
    <w:p w14:paraId="0690DAAB" w14:textId="40FE281A" w:rsidR="00DF5A2E" w:rsidRPr="00DF5A2E" w:rsidRDefault="00DF5A2E" w:rsidP="00DF5A2E">
      <w:pPr>
        <w:jc w:val="both"/>
        <w:rPr>
          <w:rFonts w:ascii="Book Antiqua" w:hAnsi="Book Antiqua"/>
          <w:sz w:val="24"/>
          <w:szCs w:val="24"/>
        </w:rPr>
      </w:pPr>
      <w:r>
        <w:rPr>
          <w:rFonts w:ascii="Book Antiqua" w:hAnsi="Book Antiqua"/>
          <w:sz w:val="24"/>
          <w:szCs w:val="24"/>
        </w:rPr>
        <w:t xml:space="preserve">Parmi les résultats attendus de ce projet, on dénombre le </w:t>
      </w:r>
      <w:r w:rsidRPr="001838D2">
        <w:rPr>
          <w:rFonts w:ascii="Book Antiqua" w:hAnsi="Book Antiqua"/>
          <w:sz w:val="24"/>
          <w:szCs w:val="24"/>
        </w:rPr>
        <w:t xml:space="preserve">contrôle </w:t>
      </w:r>
      <w:r>
        <w:rPr>
          <w:rFonts w:ascii="Book Antiqua" w:hAnsi="Book Antiqua"/>
          <w:sz w:val="24"/>
          <w:szCs w:val="24"/>
        </w:rPr>
        <w:t>d</w:t>
      </w:r>
      <w:r w:rsidRPr="001838D2">
        <w:rPr>
          <w:rFonts w:ascii="Book Antiqua" w:hAnsi="Book Antiqua"/>
          <w:sz w:val="24"/>
          <w:szCs w:val="24"/>
        </w:rPr>
        <w:t>es mouvements</w:t>
      </w:r>
      <w:r>
        <w:rPr>
          <w:rFonts w:ascii="Book Antiqua" w:hAnsi="Book Antiqua"/>
          <w:sz w:val="24"/>
          <w:szCs w:val="24"/>
        </w:rPr>
        <w:t xml:space="preserve"> </w:t>
      </w:r>
      <w:r w:rsidRPr="001838D2">
        <w:rPr>
          <w:rFonts w:ascii="Book Antiqua" w:hAnsi="Book Antiqua"/>
          <w:sz w:val="24"/>
          <w:szCs w:val="24"/>
        </w:rPr>
        <w:t>avec les données du flux migratoire</w:t>
      </w:r>
      <w:r w:rsidR="00682798">
        <w:rPr>
          <w:rFonts w:ascii="Book Antiqua" w:hAnsi="Book Antiqua"/>
          <w:sz w:val="24"/>
          <w:szCs w:val="24"/>
        </w:rPr>
        <w:t>,</w:t>
      </w:r>
      <w:r w:rsidRPr="00DF5A2E">
        <w:t xml:space="preserve"> </w:t>
      </w:r>
      <w:r>
        <w:rPr>
          <w:rFonts w:ascii="Book Antiqua" w:hAnsi="Book Antiqua"/>
          <w:sz w:val="24"/>
          <w:szCs w:val="24"/>
        </w:rPr>
        <w:t>l’amélioration d</w:t>
      </w:r>
      <w:r w:rsidRPr="00DF5A2E">
        <w:rPr>
          <w:rFonts w:ascii="Book Antiqua" w:hAnsi="Book Antiqua"/>
          <w:sz w:val="24"/>
          <w:szCs w:val="24"/>
        </w:rPr>
        <w:t>es mécanismes d’intervention d’urgence en matière de santé publique aux frontières</w:t>
      </w:r>
      <w:r w:rsidR="00682798">
        <w:rPr>
          <w:rFonts w:ascii="Book Antiqua" w:hAnsi="Book Antiqua"/>
          <w:sz w:val="24"/>
          <w:szCs w:val="24"/>
        </w:rPr>
        <w:t>,</w:t>
      </w:r>
      <w:r w:rsidRPr="00DF5A2E">
        <w:t xml:space="preserve"> </w:t>
      </w:r>
      <w:r>
        <w:rPr>
          <w:rFonts w:ascii="Book Antiqua" w:hAnsi="Book Antiqua"/>
          <w:sz w:val="24"/>
          <w:szCs w:val="24"/>
        </w:rPr>
        <w:t>le renforcement de l’</w:t>
      </w:r>
      <w:r w:rsidRPr="00DF5A2E">
        <w:rPr>
          <w:rFonts w:ascii="Book Antiqua" w:hAnsi="Book Antiqua"/>
          <w:sz w:val="24"/>
          <w:szCs w:val="24"/>
        </w:rPr>
        <w:t xml:space="preserve">engagement et </w:t>
      </w:r>
      <w:r>
        <w:rPr>
          <w:rFonts w:ascii="Book Antiqua" w:hAnsi="Book Antiqua"/>
          <w:sz w:val="24"/>
          <w:szCs w:val="24"/>
        </w:rPr>
        <w:t xml:space="preserve">de </w:t>
      </w:r>
      <w:r w:rsidRPr="00DF5A2E">
        <w:rPr>
          <w:rFonts w:ascii="Book Antiqua" w:hAnsi="Book Antiqua"/>
          <w:sz w:val="24"/>
          <w:szCs w:val="24"/>
        </w:rPr>
        <w:t>la coopération avec les communautés frontalières</w:t>
      </w:r>
      <w:r>
        <w:rPr>
          <w:rFonts w:ascii="Book Antiqua" w:hAnsi="Book Antiqua"/>
          <w:sz w:val="24"/>
          <w:szCs w:val="24"/>
        </w:rPr>
        <w:t xml:space="preserve"> et le renforcement de la </w:t>
      </w:r>
      <w:r w:rsidRPr="001838D2">
        <w:rPr>
          <w:rFonts w:ascii="Book Antiqua" w:hAnsi="Book Antiqua"/>
          <w:sz w:val="24"/>
          <w:szCs w:val="24"/>
        </w:rPr>
        <w:t>coopération entre les pays du Golfe de Guinée.</w:t>
      </w:r>
    </w:p>
    <w:p w14:paraId="381165F6" w14:textId="77777777" w:rsidR="00053581" w:rsidRDefault="00053581" w:rsidP="001838D2">
      <w:pPr>
        <w:jc w:val="both"/>
        <w:rPr>
          <w:rFonts w:ascii="Book Antiqua" w:hAnsi="Book Antiqua"/>
          <w:sz w:val="24"/>
          <w:szCs w:val="24"/>
        </w:rPr>
      </w:pPr>
    </w:p>
    <w:p w14:paraId="1708B999" w14:textId="77777777" w:rsidR="00053581" w:rsidRDefault="00053581" w:rsidP="001838D2">
      <w:pPr>
        <w:jc w:val="both"/>
        <w:rPr>
          <w:rFonts w:ascii="Book Antiqua" w:hAnsi="Book Antiqua"/>
          <w:sz w:val="24"/>
          <w:szCs w:val="24"/>
        </w:rPr>
      </w:pPr>
    </w:p>
    <w:p w14:paraId="0ADC1DF8" w14:textId="77777777" w:rsidR="00FA56DA" w:rsidRDefault="00FA56DA" w:rsidP="001838D2">
      <w:pPr>
        <w:jc w:val="both"/>
        <w:rPr>
          <w:rFonts w:ascii="Book Antiqua" w:hAnsi="Book Antiqua"/>
          <w:sz w:val="24"/>
          <w:szCs w:val="24"/>
        </w:rPr>
      </w:pPr>
    </w:p>
    <w:p w14:paraId="517D4068" w14:textId="77777777" w:rsidR="00EE3B46" w:rsidRDefault="00EE3B46" w:rsidP="001838D2">
      <w:pPr>
        <w:jc w:val="both"/>
        <w:rPr>
          <w:rFonts w:ascii="Book Antiqua" w:hAnsi="Book Antiqua"/>
          <w:sz w:val="24"/>
          <w:szCs w:val="24"/>
        </w:rPr>
      </w:pPr>
    </w:p>
    <w:p w14:paraId="61143239" w14:textId="77777777" w:rsidR="00EE3B46" w:rsidRDefault="00EE3B46" w:rsidP="001838D2">
      <w:pPr>
        <w:jc w:val="both"/>
        <w:rPr>
          <w:rFonts w:ascii="Book Antiqua" w:hAnsi="Book Antiqua"/>
          <w:sz w:val="24"/>
          <w:szCs w:val="24"/>
        </w:rPr>
      </w:pPr>
    </w:p>
    <w:p w14:paraId="134CEB71" w14:textId="77777777" w:rsidR="00EE3B46" w:rsidRDefault="00EE3B46" w:rsidP="001838D2">
      <w:pPr>
        <w:jc w:val="both"/>
        <w:rPr>
          <w:rFonts w:ascii="Book Antiqua" w:hAnsi="Book Antiqua"/>
          <w:sz w:val="24"/>
          <w:szCs w:val="24"/>
        </w:rPr>
      </w:pPr>
    </w:p>
    <w:p w14:paraId="691E3AA8" w14:textId="5ED7AE77" w:rsidR="00DA2396" w:rsidRPr="00627849" w:rsidRDefault="0065544A" w:rsidP="001838D2">
      <w:pPr>
        <w:jc w:val="both"/>
        <w:rPr>
          <w:rFonts w:ascii="Book Antiqua" w:hAnsi="Book Antiqua"/>
          <w:sz w:val="24"/>
          <w:szCs w:val="24"/>
        </w:rPr>
      </w:pPr>
      <w:r>
        <w:rPr>
          <w:rFonts w:ascii="Book Antiqua" w:hAnsi="Book Antiqua"/>
          <w:sz w:val="24"/>
          <w:szCs w:val="24"/>
        </w:rPr>
        <w:lastRenderedPageBreak/>
        <w:t xml:space="preserve"> </w:t>
      </w:r>
      <w:r w:rsidR="00732B7C">
        <w:rPr>
          <w:rFonts w:ascii="Book Antiqua" w:hAnsi="Book Antiqua"/>
          <w:sz w:val="24"/>
          <w:szCs w:val="24"/>
        </w:rPr>
        <w:t xml:space="preserve"> </w:t>
      </w:r>
      <w:r w:rsidR="009D2F51">
        <w:rPr>
          <w:rFonts w:ascii="Book Antiqua" w:hAnsi="Book Antiqua"/>
          <w:sz w:val="24"/>
          <w:szCs w:val="24"/>
        </w:rPr>
        <w:t xml:space="preserve">Photos illustratives </w:t>
      </w:r>
    </w:p>
    <w:p w14:paraId="42A7EB0C" w14:textId="7914F6B3" w:rsidR="00DF5A2E" w:rsidRDefault="000D63A2" w:rsidP="001838D2">
      <w:pPr>
        <w:jc w:val="both"/>
        <w:rPr>
          <w:rFonts w:ascii="Book Antiqua" w:hAnsi="Book Antiqua"/>
          <w:sz w:val="24"/>
          <w:szCs w:val="24"/>
        </w:rPr>
      </w:pPr>
      <w:r>
        <w:rPr>
          <w:rFonts w:ascii="Book Antiqua" w:hAnsi="Book Antiqua"/>
          <w:noProof/>
          <w:sz w:val="24"/>
          <w:szCs w:val="24"/>
        </w:rPr>
        <w:drawing>
          <wp:inline distT="0" distB="0" distL="0" distR="0" wp14:anchorId="2C6C4B2E" wp14:editId="1F5C484F">
            <wp:extent cx="5890260" cy="3804239"/>
            <wp:effectExtent l="0" t="0" r="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07037" cy="3815075"/>
                    </a:xfrm>
                    <a:prstGeom prst="rect">
                      <a:avLst/>
                    </a:prstGeom>
                    <a:noFill/>
                  </pic:spPr>
                </pic:pic>
              </a:graphicData>
            </a:graphic>
          </wp:inline>
        </w:drawing>
      </w:r>
    </w:p>
    <w:p w14:paraId="249432E9" w14:textId="0BD241CE" w:rsidR="00DA2396" w:rsidRDefault="00DA2396" w:rsidP="001838D2">
      <w:pPr>
        <w:jc w:val="both"/>
        <w:rPr>
          <w:rFonts w:ascii="Book Antiqua" w:hAnsi="Book Antiqua"/>
          <w:sz w:val="24"/>
          <w:szCs w:val="24"/>
        </w:rPr>
      </w:pPr>
    </w:p>
    <w:p w14:paraId="1C333203" w14:textId="73125D13" w:rsidR="000D63A2" w:rsidRDefault="000D63A2" w:rsidP="001838D2">
      <w:pPr>
        <w:jc w:val="both"/>
        <w:rPr>
          <w:rFonts w:ascii="Book Antiqua" w:hAnsi="Book Antiqua"/>
          <w:sz w:val="24"/>
          <w:szCs w:val="24"/>
        </w:rPr>
      </w:pPr>
    </w:p>
    <w:p w14:paraId="2289A6C1" w14:textId="62C8F9CE" w:rsidR="000D63A2" w:rsidRPr="001838D2" w:rsidRDefault="000D63A2" w:rsidP="001838D2">
      <w:pPr>
        <w:jc w:val="both"/>
        <w:rPr>
          <w:rFonts w:ascii="Book Antiqua" w:hAnsi="Book Antiqua"/>
          <w:sz w:val="24"/>
          <w:szCs w:val="24"/>
        </w:rPr>
      </w:pPr>
      <w:r>
        <w:rPr>
          <w:rFonts w:ascii="Book Antiqua" w:hAnsi="Book Antiqua"/>
          <w:noProof/>
          <w:sz w:val="24"/>
          <w:szCs w:val="24"/>
        </w:rPr>
        <w:lastRenderedPageBreak/>
        <w:drawing>
          <wp:inline distT="0" distB="0" distL="0" distR="0" wp14:anchorId="4E14D0C1" wp14:editId="73D1A1E6">
            <wp:extent cx="6238275" cy="421386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58285" cy="4227377"/>
                    </a:xfrm>
                    <a:prstGeom prst="rect">
                      <a:avLst/>
                    </a:prstGeom>
                    <a:noFill/>
                  </pic:spPr>
                </pic:pic>
              </a:graphicData>
            </a:graphic>
          </wp:inline>
        </w:drawing>
      </w:r>
    </w:p>
    <w:sectPr w:rsidR="000D63A2" w:rsidRPr="001838D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2396"/>
    <w:rsid w:val="00053581"/>
    <w:rsid w:val="000953B8"/>
    <w:rsid w:val="000D63A2"/>
    <w:rsid w:val="001047A1"/>
    <w:rsid w:val="001838D2"/>
    <w:rsid w:val="001D1C62"/>
    <w:rsid w:val="00302442"/>
    <w:rsid w:val="0038023D"/>
    <w:rsid w:val="004D3397"/>
    <w:rsid w:val="00627849"/>
    <w:rsid w:val="0065544A"/>
    <w:rsid w:val="00664005"/>
    <w:rsid w:val="00682798"/>
    <w:rsid w:val="00732B7C"/>
    <w:rsid w:val="00873870"/>
    <w:rsid w:val="008D2082"/>
    <w:rsid w:val="008D388A"/>
    <w:rsid w:val="00981677"/>
    <w:rsid w:val="009D2F51"/>
    <w:rsid w:val="00B40A0E"/>
    <w:rsid w:val="00C95C73"/>
    <w:rsid w:val="00DA2396"/>
    <w:rsid w:val="00DF5A2E"/>
    <w:rsid w:val="00EE3B46"/>
    <w:rsid w:val="00FA56D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867A76"/>
  <w15:chartTrackingRefBased/>
  <w15:docId w15:val="{CA6899D0-E0DF-4708-AEB0-90380248A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8279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82798"/>
    <w:rPr>
      <w:rFonts w:ascii="Segoe UI" w:hAnsi="Segoe UI" w:cs="Segoe UI"/>
      <w:sz w:val="18"/>
      <w:szCs w:val="18"/>
    </w:rPr>
  </w:style>
  <w:style w:type="character" w:styleId="Marquedecommentaire">
    <w:name w:val="annotation reference"/>
    <w:basedOn w:val="Policepardfaut"/>
    <w:uiPriority w:val="99"/>
    <w:semiHidden/>
    <w:unhideWhenUsed/>
    <w:rsid w:val="00682798"/>
    <w:rPr>
      <w:sz w:val="16"/>
      <w:szCs w:val="16"/>
    </w:rPr>
  </w:style>
  <w:style w:type="paragraph" w:styleId="Commentaire">
    <w:name w:val="annotation text"/>
    <w:basedOn w:val="Normal"/>
    <w:link w:val="CommentaireCar"/>
    <w:uiPriority w:val="99"/>
    <w:semiHidden/>
    <w:unhideWhenUsed/>
    <w:rsid w:val="00682798"/>
    <w:pPr>
      <w:spacing w:line="240" w:lineRule="auto"/>
    </w:pPr>
    <w:rPr>
      <w:sz w:val="20"/>
      <w:szCs w:val="20"/>
    </w:rPr>
  </w:style>
  <w:style w:type="character" w:customStyle="1" w:styleId="CommentaireCar">
    <w:name w:val="Commentaire Car"/>
    <w:basedOn w:val="Policepardfaut"/>
    <w:link w:val="Commentaire"/>
    <w:uiPriority w:val="99"/>
    <w:semiHidden/>
    <w:rsid w:val="00682798"/>
    <w:rPr>
      <w:sz w:val="20"/>
      <w:szCs w:val="20"/>
    </w:rPr>
  </w:style>
  <w:style w:type="paragraph" w:styleId="Objetducommentaire">
    <w:name w:val="annotation subject"/>
    <w:basedOn w:val="Commentaire"/>
    <w:next w:val="Commentaire"/>
    <w:link w:val="ObjetducommentaireCar"/>
    <w:uiPriority w:val="99"/>
    <w:semiHidden/>
    <w:unhideWhenUsed/>
    <w:rsid w:val="00682798"/>
    <w:rPr>
      <w:b/>
      <w:bCs/>
    </w:rPr>
  </w:style>
  <w:style w:type="character" w:customStyle="1" w:styleId="ObjetducommentaireCar">
    <w:name w:val="Objet du commentaire Car"/>
    <w:basedOn w:val="CommentaireCar"/>
    <w:link w:val="Objetducommentaire"/>
    <w:uiPriority w:val="99"/>
    <w:semiHidden/>
    <w:rsid w:val="0068279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349</Words>
  <Characters>1992</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Nadietou Zibilila</dc:creator>
  <cp:keywords/>
  <dc:description/>
  <cp:lastModifiedBy>Daouda Nadietou Zibilila</cp:lastModifiedBy>
  <cp:revision>2</cp:revision>
  <dcterms:created xsi:type="dcterms:W3CDTF">2021-06-23T17:27:00Z</dcterms:created>
  <dcterms:modified xsi:type="dcterms:W3CDTF">2021-06-23T17:27:00Z</dcterms:modified>
</cp:coreProperties>
</file>